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2D" w:rsidRPr="0087038D" w:rsidRDefault="001F6D2D" w:rsidP="001F6D2D">
      <w:pPr>
        <w:jc w:val="both"/>
        <w:rPr>
          <w:rFonts w:ascii="Times New Roman" w:hAnsi="Times New Roman"/>
          <w:sz w:val="32"/>
          <w:szCs w:val="32"/>
        </w:rPr>
      </w:pPr>
      <w:r w:rsidRPr="0087038D">
        <w:rPr>
          <w:rFonts w:ascii="Times New Roman" w:hAnsi="Times New Roman"/>
          <w:b/>
          <w:sz w:val="32"/>
          <w:szCs w:val="32"/>
        </w:rPr>
        <w:t>Explanation of variances</w:t>
      </w:r>
    </w:p>
    <w:p w:rsidR="001F6D2D" w:rsidRPr="0087038D" w:rsidRDefault="001F6D2D" w:rsidP="001F6D2D">
      <w:pPr>
        <w:jc w:val="both"/>
        <w:rPr>
          <w:rFonts w:ascii="Times New Roman" w:hAnsi="Times New Roman"/>
          <w:sz w:val="28"/>
          <w:szCs w:val="28"/>
        </w:rPr>
      </w:pPr>
    </w:p>
    <w:p w:rsidR="00B8516E" w:rsidRDefault="00B8516E" w:rsidP="00B8516E">
      <w:pPr>
        <w:tabs>
          <w:tab w:val="left" w:pos="36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of smaller authority: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Roudham &amp; Larling </w:t>
      </w:r>
      <w:r w:rsidRPr="00A556FE">
        <w:rPr>
          <w:rFonts w:ascii="Times New Roman" w:hAnsi="Times New Roman"/>
          <w:b/>
          <w:sz w:val="28"/>
          <w:szCs w:val="28"/>
        </w:rPr>
        <w:t>Parish Council</w:t>
      </w:r>
    </w:p>
    <w:p w:rsidR="00B8516E" w:rsidRPr="005F03D0" w:rsidRDefault="00B8516E" w:rsidP="00B8516E">
      <w:pPr>
        <w:tabs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  <w:r w:rsidRPr="005F03D0">
        <w:rPr>
          <w:rFonts w:ascii="Times New Roman" w:hAnsi="Times New Roman"/>
          <w:sz w:val="28"/>
          <w:szCs w:val="28"/>
        </w:rPr>
        <w:t>County Area:</w:t>
      </w:r>
      <w:r>
        <w:rPr>
          <w:rFonts w:ascii="Times New Roman" w:hAnsi="Times New Roman"/>
          <w:sz w:val="28"/>
          <w:szCs w:val="28"/>
        </w:rPr>
        <w:tab/>
      </w:r>
      <w:r w:rsidRPr="005F03D0">
        <w:rPr>
          <w:rFonts w:ascii="Times New Roman" w:hAnsi="Times New Roman"/>
          <w:b/>
          <w:sz w:val="28"/>
          <w:szCs w:val="28"/>
        </w:rPr>
        <w:t>Norfolk</w:t>
      </w:r>
    </w:p>
    <w:p w:rsidR="00B8516E" w:rsidRPr="0087038D" w:rsidRDefault="00B8516E" w:rsidP="00B8516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666" w:type="dxa"/>
        <w:tblLayout w:type="fixed"/>
        <w:tblLook w:val="04A0"/>
      </w:tblPr>
      <w:tblGrid>
        <w:gridCol w:w="1508"/>
        <w:gridCol w:w="1214"/>
        <w:gridCol w:w="1207"/>
        <w:gridCol w:w="1444"/>
        <w:gridCol w:w="1485"/>
        <w:gridCol w:w="2808"/>
      </w:tblGrid>
      <w:tr w:rsidR="00101C2C" w:rsidRPr="0087038D" w:rsidTr="0082037B">
        <w:trPr>
          <w:cantSplit/>
        </w:trPr>
        <w:tc>
          <w:tcPr>
            <w:tcW w:w="1508" w:type="dxa"/>
          </w:tcPr>
          <w:p w:rsidR="00101C2C" w:rsidRPr="0087038D" w:rsidRDefault="00101C2C" w:rsidP="00E9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Section 2</w:t>
            </w:r>
          </w:p>
        </w:tc>
        <w:tc>
          <w:tcPr>
            <w:tcW w:w="1214" w:type="dxa"/>
          </w:tcPr>
          <w:p w:rsidR="00101C2C" w:rsidRPr="0087038D" w:rsidRDefault="00101C2C" w:rsidP="00733812">
            <w:pPr>
              <w:ind w:right="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101C2C" w:rsidRPr="0087038D" w:rsidRDefault="00101C2C" w:rsidP="00733812">
            <w:pPr>
              <w:ind w:right="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£</w:t>
            </w:r>
          </w:p>
        </w:tc>
        <w:tc>
          <w:tcPr>
            <w:tcW w:w="1207" w:type="dxa"/>
          </w:tcPr>
          <w:p w:rsidR="00101C2C" w:rsidRPr="0087038D" w:rsidRDefault="00101C2C" w:rsidP="00E9402B">
            <w:pPr>
              <w:ind w:right="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101C2C" w:rsidRPr="0087038D" w:rsidRDefault="00101C2C" w:rsidP="00E9402B">
            <w:pPr>
              <w:ind w:right="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£</w:t>
            </w:r>
          </w:p>
        </w:tc>
        <w:tc>
          <w:tcPr>
            <w:tcW w:w="1444" w:type="dxa"/>
          </w:tcPr>
          <w:p w:rsidR="00101C2C" w:rsidRPr="0087038D" w:rsidRDefault="00101C2C" w:rsidP="00E9402B">
            <w:pPr>
              <w:ind w:right="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Variance</w:t>
            </w:r>
          </w:p>
          <w:p w:rsidR="00101C2C" w:rsidRPr="0087038D" w:rsidRDefault="00101C2C" w:rsidP="00E9402B">
            <w:pPr>
              <w:ind w:right="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£</w:t>
            </w:r>
          </w:p>
        </w:tc>
        <w:tc>
          <w:tcPr>
            <w:tcW w:w="1485" w:type="dxa"/>
          </w:tcPr>
          <w:p w:rsidR="00101C2C" w:rsidRPr="0087038D" w:rsidRDefault="00101C2C" w:rsidP="00E9402B">
            <w:pPr>
              <w:ind w:right="1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Variance</w:t>
            </w:r>
          </w:p>
          <w:p w:rsidR="00101C2C" w:rsidRPr="0087038D" w:rsidRDefault="00101C2C" w:rsidP="00E94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808" w:type="dxa"/>
          </w:tcPr>
          <w:p w:rsidR="00101C2C" w:rsidRPr="0087038D" w:rsidRDefault="00101C2C" w:rsidP="00E94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Detailed explanation of variance (with amounts £)</w:t>
            </w:r>
          </w:p>
        </w:tc>
      </w:tr>
      <w:tr w:rsidR="00101C2C" w:rsidRPr="0087038D" w:rsidTr="0082037B">
        <w:trPr>
          <w:cantSplit/>
        </w:trPr>
        <w:tc>
          <w:tcPr>
            <w:tcW w:w="1508" w:type="dxa"/>
          </w:tcPr>
          <w:p w:rsidR="00101C2C" w:rsidRPr="0087038D" w:rsidRDefault="00101C2C" w:rsidP="00E940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Box 2</w:t>
            </w:r>
          </w:p>
          <w:p w:rsidR="00101C2C" w:rsidRPr="0087038D" w:rsidRDefault="00101C2C" w:rsidP="00E94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Precept</w:t>
            </w:r>
          </w:p>
        </w:tc>
        <w:tc>
          <w:tcPr>
            <w:tcW w:w="1214" w:type="dxa"/>
          </w:tcPr>
          <w:p w:rsidR="00101C2C" w:rsidRPr="0087038D" w:rsidRDefault="00101C2C" w:rsidP="00733812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3,400</w:t>
            </w:r>
          </w:p>
        </w:tc>
        <w:tc>
          <w:tcPr>
            <w:tcW w:w="1207" w:type="dxa"/>
          </w:tcPr>
          <w:p w:rsidR="00101C2C" w:rsidRPr="0087038D" w:rsidRDefault="00101C2C" w:rsidP="00101C2C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3,500</w:t>
            </w:r>
          </w:p>
        </w:tc>
        <w:tc>
          <w:tcPr>
            <w:tcW w:w="1444" w:type="dxa"/>
          </w:tcPr>
          <w:p w:rsidR="00101C2C" w:rsidRPr="0087038D" w:rsidRDefault="00101C2C" w:rsidP="00101C2C">
            <w:pPr>
              <w:ind w:right="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+100</w:t>
            </w:r>
          </w:p>
        </w:tc>
        <w:tc>
          <w:tcPr>
            <w:tcW w:w="1485" w:type="dxa"/>
          </w:tcPr>
          <w:p w:rsidR="00101C2C" w:rsidRPr="0082037B" w:rsidRDefault="00101C2C" w:rsidP="005B11B8">
            <w:pPr>
              <w:ind w:left="806" w:hanging="806"/>
              <w:jc w:val="right"/>
              <w:rPr>
                <w:sz w:val="28"/>
                <w:szCs w:val="28"/>
              </w:rPr>
            </w:pPr>
            <w:r w:rsidRPr="0082037B">
              <w:rPr>
                <w:sz w:val="28"/>
                <w:szCs w:val="28"/>
              </w:rPr>
              <w:t>+</w:t>
            </w:r>
            <w:r w:rsidR="005B11B8">
              <w:rPr>
                <w:sz w:val="28"/>
                <w:szCs w:val="28"/>
              </w:rPr>
              <w:t>2.94%</w:t>
            </w:r>
          </w:p>
        </w:tc>
        <w:tc>
          <w:tcPr>
            <w:tcW w:w="2808" w:type="dxa"/>
          </w:tcPr>
          <w:p w:rsidR="00101C2C" w:rsidRPr="0087038D" w:rsidRDefault="00101C2C" w:rsidP="00E9402B">
            <w:pPr>
              <w:ind w:left="815" w:hanging="8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C2C" w:rsidRPr="0087038D" w:rsidTr="0082037B">
        <w:tc>
          <w:tcPr>
            <w:tcW w:w="1508" w:type="dxa"/>
          </w:tcPr>
          <w:p w:rsidR="00101C2C" w:rsidRPr="0087038D" w:rsidRDefault="00101C2C" w:rsidP="00E94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Box 3</w:t>
            </w:r>
          </w:p>
          <w:p w:rsidR="00101C2C" w:rsidRPr="0087038D" w:rsidRDefault="00101C2C" w:rsidP="00E94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Other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income</w:t>
            </w:r>
          </w:p>
        </w:tc>
        <w:tc>
          <w:tcPr>
            <w:tcW w:w="1214" w:type="dxa"/>
          </w:tcPr>
          <w:p w:rsidR="00101C2C" w:rsidRPr="0087038D" w:rsidRDefault="00101C2C" w:rsidP="00733812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</w:t>
            </w:r>
          </w:p>
        </w:tc>
        <w:tc>
          <w:tcPr>
            <w:tcW w:w="1207" w:type="dxa"/>
          </w:tcPr>
          <w:p w:rsidR="00101C2C" w:rsidRPr="0087038D" w:rsidRDefault="00101C2C" w:rsidP="00E9402B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444" w:type="dxa"/>
          </w:tcPr>
          <w:p w:rsidR="00101C2C" w:rsidRPr="0087038D" w:rsidRDefault="00101C2C" w:rsidP="00101C2C">
            <w:pPr>
              <w:ind w:right="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-335</w:t>
            </w:r>
          </w:p>
        </w:tc>
        <w:tc>
          <w:tcPr>
            <w:tcW w:w="1485" w:type="dxa"/>
          </w:tcPr>
          <w:p w:rsidR="00101C2C" w:rsidRDefault="00101C2C" w:rsidP="00101C2C">
            <w:pPr>
              <w:ind w:left="806" w:hanging="8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</w:t>
            </w:r>
            <w:r w:rsidR="005B11B8">
              <w:rPr>
                <w:sz w:val="28"/>
                <w:szCs w:val="28"/>
              </w:rPr>
              <w:t>.18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808" w:type="dxa"/>
          </w:tcPr>
          <w:p w:rsidR="00101C2C" w:rsidRPr="002C68F1" w:rsidRDefault="00101C2C" w:rsidP="00E9402B">
            <w:pPr>
              <w:ind w:left="806" w:hanging="8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-377</w:t>
            </w:r>
            <w:r>
              <w:rPr>
                <w:sz w:val="28"/>
                <w:szCs w:val="28"/>
              </w:rPr>
              <w:tab/>
              <w:t>Last year’s Transparency Fund not available this year.</w:t>
            </w:r>
          </w:p>
        </w:tc>
      </w:tr>
      <w:tr w:rsidR="00101C2C" w:rsidRPr="0087038D" w:rsidTr="0082037B">
        <w:trPr>
          <w:cantSplit/>
        </w:trPr>
        <w:tc>
          <w:tcPr>
            <w:tcW w:w="1508" w:type="dxa"/>
          </w:tcPr>
          <w:p w:rsidR="00101C2C" w:rsidRPr="0087038D" w:rsidRDefault="00101C2C" w:rsidP="00E94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Box 4</w:t>
            </w:r>
          </w:p>
          <w:p w:rsidR="00101C2C" w:rsidRPr="0087038D" w:rsidRDefault="00101C2C" w:rsidP="00E94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Staff costs</w:t>
            </w:r>
          </w:p>
        </w:tc>
        <w:tc>
          <w:tcPr>
            <w:tcW w:w="1214" w:type="dxa"/>
          </w:tcPr>
          <w:p w:rsidR="00101C2C" w:rsidRPr="0087038D" w:rsidRDefault="00101C2C" w:rsidP="00733812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2,341</w:t>
            </w:r>
          </w:p>
        </w:tc>
        <w:tc>
          <w:tcPr>
            <w:tcW w:w="1207" w:type="dxa"/>
          </w:tcPr>
          <w:p w:rsidR="00101C2C" w:rsidRPr="0087038D" w:rsidRDefault="00101C2C" w:rsidP="00E9402B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3,000</w:t>
            </w:r>
          </w:p>
        </w:tc>
        <w:tc>
          <w:tcPr>
            <w:tcW w:w="1444" w:type="dxa"/>
          </w:tcPr>
          <w:p w:rsidR="00101C2C" w:rsidRPr="0087038D" w:rsidRDefault="00101C2C" w:rsidP="00101C2C">
            <w:pPr>
              <w:ind w:right="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+659</w:t>
            </w:r>
          </w:p>
        </w:tc>
        <w:tc>
          <w:tcPr>
            <w:tcW w:w="1485" w:type="dxa"/>
          </w:tcPr>
          <w:p w:rsidR="00101C2C" w:rsidRPr="00B97A97" w:rsidRDefault="00101C2C" w:rsidP="00101C2C">
            <w:pPr>
              <w:ind w:left="815" w:hanging="8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+28</w:t>
            </w:r>
            <w:r w:rsidR="005B11B8">
              <w:rPr>
                <w:rFonts w:ascii="Times New Roman" w:hAnsi="Times New Roman"/>
                <w:sz w:val="28"/>
                <w:szCs w:val="28"/>
              </w:rPr>
              <w:t>.15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08" w:type="dxa"/>
          </w:tcPr>
          <w:p w:rsidR="00101C2C" w:rsidRPr="00B97A97" w:rsidRDefault="00101C2C" w:rsidP="00101C2C">
            <w:pPr>
              <w:ind w:left="815" w:hanging="8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+735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Increase in Clerk’s hours to match what he had actually been working, including back payment.</w:t>
            </w:r>
          </w:p>
        </w:tc>
      </w:tr>
      <w:tr w:rsidR="00101C2C" w:rsidRPr="0087038D" w:rsidTr="0082037B">
        <w:trPr>
          <w:cantSplit/>
        </w:trPr>
        <w:tc>
          <w:tcPr>
            <w:tcW w:w="1508" w:type="dxa"/>
          </w:tcPr>
          <w:p w:rsidR="00101C2C" w:rsidRPr="0087038D" w:rsidRDefault="00101C2C" w:rsidP="00E94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Box 5</w:t>
            </w:r>
          </w:p>
          <w:p w:rsidR="00101C2C" w:rsidRPr="0087038D" w:rsidRDefault="00101C2C" w:rsidP="00E94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Loan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Interest/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capital</w:t>
            </w:r>
          </w:p>
        </w:tc>
        <w:tc>
          <w:tcPr>
            <w:tcW w:w="1214" w:type="dxa"/>
          </w:tcPr>
          <w:p w:rsidR="00101C2C" w:rsidRPr="0087038D" w:rsidRDefault="00101C2C" w:rsidP="00733812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101C2C" w:rsidRPr="0087038D" w:rsidRDefault="00101C2C" w:rsidP="00E9402B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</w:tcPr>
          <w:p w:rsidR="00101C2C" w:rsidRDefault="00101C2C" w:rsidP="00E9402B">
            <w:pPr>
              <w:ind w:right="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01C2C" w:rsidRPr="0087038D" w:rsidRDefault="00101C2C" w:rsidP="00E9402B">
            <w:pPr>
              <w:ind w:right="13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1C2C" w:rsidRPr="0087038D" w:rsidRDefault="00101C2C" w:rsidP="00E9402B">
            <w:pPr>
              <w:ind w:left="819" w:hanging="81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+0%</w:t>
            </w:r>
          </w:p>
        </w:tc>
        <w:tc>
          <w:tcPr>
            <w:tcW w:w="2808" w:type="dxa"/>
          </w:tcPr>
          <w:p w:rsidR="00101C2C" w:rsidRPr="0087038D" w:rsidRDefault="00101C2C" w:rsidP="00E9402B">
            <w:pPr>
              <w:ind w:left="819" w:hanging="8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C2C" w:rsidRPr="0087038D" w:rsidTr="005B11B8">
        <w:trPr>
          <w:cantSplit/>
        </w:trPr>
        <w:tc>
          <w:tcPr>
            <w:tcW w:w="1508" w:type="dxa"/>
          </w:tcPr>
          <w:p w:rsidR="00101C2C" w:rsidRPr="0087038D" w:rsidRDefault="00101C2C" w:rsidP="00E94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Box 6</w:t>
            </w:r>
          </w:p>
          <w:p w:rsidR="00101C2C" w:rsidRPr="0087038D" w:rsidRDefault="00101C2C" w:rsidP="00E94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Other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Payments</w:t>
            </w:r>
          </w:p>
        </w:tc>
        <w:tc>
          <w:tcPr>
            <w:tcW w:w="1214" w:type="dxa"/>
          </w:tcPr>
          <w:p w:rsidR="00101C2C" w:rsidRPr="0087038D" w:rsidRDefault="00101C2C" w:rsidP="00733812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1207" w:type="dxa"/>
          </w:tcPr>
          <w:p w:rsidR="00101C2C" w:rsidRPr="0087038D" w:rsidRDefault="00101C2C" w:rsidP="00E9402B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1,272</w:t>
            </w:r>
          </w:p>
        </w:tc>
        <w:tc>
          <w:tcPr>
            <w:tcW w:w="1444" w:type="dxa"/>
          </w:tcPr>
          <w:p w:rsidR="00101C2C" w:rsidRPr="0087038D" w:rsidRDefault="00101C2C" w:rsidP="00101C2C">
            <w:pPr>
              <w:tabs>
                <w:tab w:val="decimal" w:pos="404"/>
              </w:tabs>
              <w:ind w:right="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+302</w:t>
            </w:r>
          </w:p>
        </w:tc>
        <w:tc>
          <w:tcPr>
            <w:tcW w:w="1485" w:type="dxa"/>
          </w:tcPr>
          <w:p w:rsidR="00101C2C" w:rsidRDefault="00101C2C" w:rsidP="00083F60">
            <w:pPr>
              <w:ind w:left="806" w:hanging="8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</w:t>
            </w:r>
            <w:r w:rsidR="005B11B8">
              <w:rPr>
                <w:sz w:val="28"/>
                <w:szCs w:val="28"/>
              </w:rPr>
              <w:t>.13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808" w:type="dxa"/>
          </w:tcPr>
          <w:p w:rsidR="00101C2C" w:rsidRDefault="00101C2C" w:rsidP="00E9402B">
            <w:pPr>
              <w:ind w:left="806" w:hanging="80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-60</w:t>
            </w:r>
            <w:r>
              <w:rPr>
                <w:sz w:val="28"/>
                <w:szCs w:val="28"/>
              </w:rPr>
              <w:tab/>
              <w:t>Less meetings</w:t>
            </w:r>
            <w:proofErr w:type="gramEnd"/>
            <w:r>
              <w:rPr>
                <w:sz w:val="28"/>
                <w:szCs w:val="28"/>
              </w:rPr>
              <w:t xml:space="preserve"> so decrease in meeting hall hire costs.</w:t>
            </w:r>
          </w:p>
          <w:p w:rsidR="00101C2C" w:rsidRDefault="00101C2C" w:rsidP="00025346">
            <w:pPr>
              <w:ind w:left="806" w:hanging="8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</w:t>
            </w:r>
            <w:r>
              <w:rPr>
                <w:sz w:val="28"/>
                <w:szCs w:val="28"/>
              </w:rPr>
              <w:tab/>
              <w:t>S137 Grant to Milestone Society.</w:t>
            </w:r>
          </w:p>
          <w:p w:rsidR="00101C2C" w:rsidRDefault="00101C2C" w:rsidP="00025346">
            <w:pPr>
              <w:ind w:left="806" w:hanging="8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+130</w:t>
            </w:r>
            <w:r>
              <w:rPr>
                <w:sz w:val="28"/>
                <w:szCs w:val="28"/>
              </w:rPr>
              <w:tab/>
              <w:t>Cost of survey re. Neighbourhood Plan.</w:t>
            </w:r>
          </w:p>
          <w:p w:rsidR="005B11B8" w:rsidRPr="005C6608" w:rsidRDefault="005B11B8" w:rsidP="00025346">
            <w:pPr>
              <w:ind w:left="806" w:hanging="8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+75</w:t>
            </w:r>
            <w:r>
              <w:rPr>
                <w:sz w:val="28"/>
                <w:szCs w:val="28"/>
              </w:rPr>
              <w:tab/>
              <w:t>Airfield Commemoration plaque.</w:t>
            </w:r>
          </w:p>
        </w:tc>
      </w:tr>
      <w:tr w:rsidR="00101C2C" w:rsidRPr="0087038D" w:rsidTr="00025346">
        <w:tc>
          <w:tcPr>
            <w:tcW w:w="1508" w:type="dxa"/>
          </w:tcPr>
          <w:p w:rsidR="00101C2C" w:rsidRPr="0087038D" w:rsidRDefault="00101C2C" w:rsidP="00E9402B">
            <w:pPr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 xml:space="preserve">Box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101C2C" w:rsidRPr="0087038D" w:rsidRDefault="00101C2C" w:rsidP="00E940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Balances carried forwards</w:t>
            </w:r>
          </w:p>
        </w:tc>
        <w:tc>
          <w:tcPr>
            <w:tcW w:w="1214" w:type="dxa"/>
          </w:tcPr>
          <w:p w:rsidR="00101C2C" w:rsidRDefault="00101C2C" w:rsidP="00733812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8,113</w:t>
            </w:r>
          </w:p>
        </w:tc>
        <w:tc>
          <w:tcPr>
            <w:tcW w:w="1207" w:type="dxa"/>
          </w:tcPr>
          <w:p w:rsidR="00101C2C" w:rsidRDefault="005B11B8" w:rsidP="00E9402B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7,520</w:t>
            </w:r>
          </w:p>
        </w:tc>
        <w:tc>
          <w:tcPr>
            <w:tcW w:w="1444" w:type="dxa"/>
          </w:tcPr>
          <w:p w:rsidR="00101C2C" w:rsidRPr="0087038D" w:rsidRDefault="00101C2C" w:rsidP="00025346">
            <w:pPr>
              <w:tabs>
                <w:tab w:val="decimal" w:pos="404"/>
              </w:tabs>
              <w:ind w:right="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+603</w:t>
            </w:r>
          </w:p>
        </w:tc>
        <w:tc>
          <w:tcPr>
            <w:tcW w:w="1485" w:type="dxa"/>
          </w:tcPr>
          <w:p w:rsidR="00101C2C" w:rsidRDefault="00101C2C" w:rsidP="00025346">
            <w:pPr>
              <w:ind w:left="729" w:hanging="7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+8%</w:t>
            </w:r>
          </w:p>
        </w:tc>
        <w:tc>
          <w:tcPr>
            <w:tcW w:w="2808" w:type="dxa"/>
          </w:tcPr>
          <w:p w:rsidR="00101C2C" w:rsidRPr="00FD2A6B" w:rsidRDefault="00101C2C" w:rsidP="00E9402B">
            <w:pPr>
              <w:ind w:left="729" w:hanging="729"/>
              <w:rPr>
                <w:sz w:val="28"/>
                <w:szCs w:val="28"/>
              </w:rPr>
            </w:pPr>
          </w:p>
        </w:tc>
      </w:tr>
      <w:tr w:rsidR="00101C2C" w:rsidRPr="0087038D" w:rsidTr="00025346">
        <w:tc>
          <w:tcPr>
            <w:tcW w:w="1508" w:type="dxa"/>
          </w:tcPr>
          <w:p w:rsidR="00101C2C" w:rsidRPr="0087038D" w:rsidRDefault="00101C2C" w:rsidP="00E9402B">
            <w:pPr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Box 9</w:t>
            </w:r>
          </w:p>
          <w:p w:rsidR="00101C2C" w:rsidRPr="0087038D" w:rsidRDefault="00101C2C" w:rsidP="00E9402B">
            <w:pPr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Fixed assets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&amp; long term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assets</w:t>
            </w:r>
          </w:p>
        </w:tc>
        <w:tc>
          <w:tcPr>
            <w:tcW w:w="1214" w:type="dxa"/>
          </w:tcPr>
          <w:p w:rsidR="00101C2C" w:rsidRPr="0087038D" w:rsidRDefault="00101C2C" w:rsidP="00733812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24,289</w:t>
            </w:r>
          </w:p>
        </w:tc>
        <w:tc>
          <w:tcPr>
            <w:tcW w:w="1207" w:type="dxa"/>
          </w:tcPr>
          <w:p w:rsidR="00101C2C" w:rsidRPr="0087038D" w:rsidRDefault="00101C2C" w:rsidP="00E9402B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24,289</w:t>
            </w:r>
          </w:p>
        </w:tc>
        <w:tc>
          <w:tcPr>
            <w:tcW w:w="1444" w:type="dxa"/>
          </w:tcPr>
          <w:p w:rsidR="00101C2C" w:rsidRPr="0087038D" w:rsidRDefault="00101C2C" w:rsidP="00B84776">
            <w:pPr>
              <w:tabs>
                <w:tab w:val="decimal" w:pos="404"/>
              </w:tabs>
              <w:ind w:right="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</w:p>
        </w:tc>
        <w:tc>
          <w:tcPr>
            <w:tcW w:w="1485" w:type="dxa"/>
          </w:tcPr>
          <w:p w:rsidR="00101C2C" w:rsidRDefault="00101C2C" w:rsidP="00E9402B">
            <w:pPr>
              <w:ind w:left="833" w:hanging="8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+0%</w:t>
            </w:r>
          </w:p>
        </w:tc>
        <w:tc>
          <w:tcPr>
            <w:tcW w:w="2808" w:type="dxa"/>
          </w:tcPr>
          <w:p w:rsidR="00101C2C" w:rsidRPr="00FD2A6B" w:rsidRDefault="00101C2C" w:rsidP="00E9402B">
            <w:pPr>
              <w:ind w:left="833" w:hanging="833"/>
              <w:rPr>
                <w:sz w:val="28"/>
                <w:szCs w:val="28"/>
              </w:rPr>
            </w:pPr>
          </w:p>
        </w:tc>
      </w:tr>
      <w:tr w:rsidR="00101C2C" w:rsidRPr="0087038D" w:rsidTr="00025346">
        <w:tc>
          <w:tcPr>
            <w:tcW w:w="1508" w:type="dxa"/>
          </w:tcPr>
          <w:p w:rsidR="00101C2C" w:rsidRPr="0087038D" w:rsidRDefault="00101C2C" w:rsidP="00E94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8D">
              <w:rPr>
                <w:rFonts w:ascii="Times New Roman" w:hAnsi="Times New Roman"/>
                <w:b/>
                <w:sz w:val="28"/>
                <w:szCs w:val="28"/>
              </w:rPr>
              <w:t>Box 10</w:t>
            </w:r>
          </w:p>
          <w:p w:rsidR="00101C2C" w:rsidRPr="0087038D" w:rsidRDefault="00101C2C" w:rsidP="00E940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7038D">
              <w:rPr>
                <w:rFonts w:ascii="Times New Roman" w:hAnsi="Times New Roman"/>
                <w:i/>
                <w:sz w:val="28"/>
                <w:szCs w:val="28"/>
              </w:rPr>
              <w:t>borrowings</w:t>
            </w:r>
          </w:p>
        </w:tc>
        <w:tc>
          <w:tcPr>
            <w:tcW w:w="1214" w:type="dxa"/>
          </w:tcPr>
          <w:p w:rsidR="00101C2C" w:rsidRPr="0087038D" w:rsidRDefault="00101C2C" w:rsidP="00733812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101C2C" w:rsidRPr="0087038D" w:rsidRDefault="00101C2C" w:rsidP="00E9402B">
            <w:pPr>
              <w:ind w:right="7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</w:tcPr>
          <w:p w:rsidR="00101C2C" w:rsidRPr="00992226" w:rsidRDefault="00101C2C" w:rsidP="00E9402B">
            <w:pPr>
              <w:ind w:right="13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5" w:type="dxa"/>
          </w:tcPr>
          <w:p w:rsidR="00101C2C" w:rsidRPr="0087038D" w:rsidRDefault="00101C2C" w:rsidP="00B84776">
            <w:pPr>
              <w:ind w:left="819" w:hanging="81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-0%</w:t>
            </w:r>
          </w:p>
        </w:tc>
        <w:tc>
          <w:tcPr>
            <w:tcW w:w="2808" w:type="dxa"/>
          </w:tcPr>
          <w:p w:rsidR="00101C2C" w:rsidRPr="0087038D" w:rsidRDefault="00101C2C" w:rsidP="00E9402B">
            <w:pPr>
              <w:ind w:left="819" w:hanging="8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F60" w:rsidRPr="0087038D" w:rsidTr="00025346">
        <w:tc>
          <w:tcPr>
            <w:tcW w:w="1508" w:type="dxa"/>
          </w:tcPr>
          <w:p w:rsidR="00083F60" w:rsidRPr="00BC73FA" w:rsidRDefault="00083F60" w:rsidP="00E940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73FA">
              <w:rPr>
                <w:rFonts w:ascii="Times New Roman" w:hAnsi="Times New Roman"/>
                <w:b/>
                <w:sz w:val="28"/>
                <w:szCs w:val="28"/>
              </w:rPr>
              <w:t>Explanation for ‘high’ reserves</w:t>
            </w:r>
          </w:p>
          <w:p w:rsidR="00083F60" w:rsidRPr="0087038D" w:rsidRDefault="00083F60" w:rsidP="00E940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58" w:type="dxa"/>
            <w:gridSpan w:val="5"/>
          </w:tcPr>
          <w:p w:rsidR="00B84776" w:rsidRDefault="00B84776" w:rsidP="00B84776">
            <w:pPr>
              <w:ind w:left="25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General Reserve.</w:t>
            </w:r>
          </w:p>
          <w:p w:rsidR="00B84776" w:rsidRDefault="00B84776" w:rsidP="00BB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reviewing the size of the reserves the Council considered the possibility of having to fund:</w:t>
            </w:r>
          </w:p>
          <w:p w:rsidR="00B84776" w:rsidRPr="00D8490D" w:rsidRDefault="00B84776" w:rsidP="00D849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490D">
              <w:rPr>
                <w:sz w:val="28"/>
                <w:szCs w:val="28"/>
              </w:rPr>
              <w:t>Contested elections</w:t>
            </w:r>
            <w:r w:rsidR="00D8490D" w:rsidRPr="00D8490D">
              <w:rPr>
                <w:sz w:val="28"/>
                <w:szCs w:val="28"/>
              </w:rPr>
              <w:t xml:space="preserve"> on 2 May</w:t>
            </w:r>
            <w:r w:rsidRPr="00D8490D">
              <w:rPr>
                <w:sz w:val="28"/>
                <w:szCs w:val="28"/>
              </w:rPr>
              <w:t>;</w:t>
            </w:r>
          </w:p>
          <w:p w:rsidR="00D8490D" w:rsidRDefault="00D8490D" w:rsidP="00D849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Contested by-elections;</w:t>
            </w:r>
          </w:p>
          <w:p w:rsidR="00D8490D" w:rsidRDefault="00D8490D" w:rsidP="00D849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of obtaining a locum in the event of illness of the Clerk;</w:t>
            </w:r>
          </w:p>
          <w:p w:rsidR="00D8490D" w:rsidRPr="00D8490D" w:rsidRDefault="00D8490D" w:rsidP="00D8490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Plans to part purchase SAM2 next year (c. £1,800);</w:t>
            </w:r>
          </w:p>
          <w:p w:rsidR="00B84776" w:rsidRDefault="00EB1DC4" w:rsidP="00D8490D">
            <w:pPr>
              <w:ind w:left="75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r w:rsidR="00B84776">
              <w:rPr>
                <w:sz w:val="28"/>
                <w:szCs w:val="28"/>
              </w:rPr>
              <w:t>Other unforeseeable events.</w:t>
            </w:r>
          </w:p>
          <w:p w:rsidR="00083F60" w:rsidRPr="00921310" w:rsidRDefault="00BB01C0" w:rsidP="00D84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feels that, although the reserves are </w:t>
            </w:r>
            <w:r w:rsidR="00EB1DC4">
              <w:rPr>
                <w:sz w:val="28"/>
                <w:szCs w:val="28"/>
              </w:rPr>
              <w:t>2</w:t>
            </w:r>
            <w:r w:rsidR="00D8490D">
              <w:rPr>
                <w:sz w:val="28"/>
                <w:szCs w:val="28"/>
              </w:rPr>
              <w:t>14</w:t>
            </w:r>
            <w:r w:rsidR="00EB1DC4">
              <w:rPr>
                <w:sz w:val="28"/>
                <w:szCs w:val="28"/>
              </w:rPr>
              <w:t>% of the Precept</w:t>
            </w:r>
            <w:r w:rsidR="003F4D4A">
              <w:rPr>
                <w:sz w:val="28"/>
                <w:szCs w:val="28"/>
              </w:rPr>
              <w:t>, this is the result of a low Precept rather than excessive Reserves, and it wishes to be able to pay for something</w:t>
            </w:r>
            <w:r w:rsidR="000F10E6">
              <w:rPr>
                <w:sz w:val="28"/>
                <w:szCs w:val="28"/>
              </w:rPr>
              <w:t xml:space="preserve"> when needed rather than having to wait until the next opportunity to raise the Precept and then for thi</w:t>
            </w:r>
            <w:r w:rsidR="009462EB">
              <w:rPr>
                <w:sz w:val="28"/>
                <w:szCs w:val="28"/>
              </w:rPr>
              <w:t>s to be received months later.</w:t>
            </w:r>
          </w:p>
        </w:tc>
      </w:tr>
    </w:tbl>
    <w:p w:rsidR="00B8516E" w:rsidRPr="002E0FCA" w:rsidRDefault="00B8516E" w:rsidP="00B8516E"/>
    <w:p w:rsidR="00B8516E" w:rsidRPr="001158C3" w:rsidRDefault="00B8516E" w:rsidP="00B8516E"/>
    <w:p w:rsidR="00B8516E" w:rsidRPr="00B13180" w:rsidRDefault="00B8516E" w:rsidP="00B8516E"/>
    <w:sectPr w:rsidR="00B8516E" w:rsidRPr="00B13180" w:rsidSect="00003693">
      <w:headerReference w:type="default" r:id="rId7"/>
      <w:headerReference w:type="first" r:id="rId8"/>
      <w:footerReference w:type="first" r:id="rId9"/>
      <w:footnotePr>
        <w:numRestart w:val="eachSect"/>
      </w:footnotePr>
      <w:pgSz w:w="11909" w:h="16834" w:code="9"/>
      <w:pgMar w:top="1440" w:right="1195" w:bottom="1267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DE" w:rsidRDefault="008F6DDE">
      <w:r>
        <w:separator/>
      </w:r>
    </w:p>
  </w:endnote>
  <w:endnote w:type="continuationSeparator" w:id="0">
    <w:p w:rsidR="008F6DDE" w:rsidRDefault="008F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93" w:rsidRDefault="00003693">
    <w:pPr>
      <w:pStyle w:val="Footer"/>
      <w:tabs>
        <w:tab w:val="clear" w:pos="9071"/>
        <w:tab w:val="left" w:pos="720"/>
        <w:tab w:val="right" w:pos="9540"/>
      </w:tabs>
      <w:rPr>
        <w:rFonts w:ascii="Univers" w:hAnsi="Univers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DE" w:rsidRDefault="008F6DDE">
      <w:r>
        <w:separator/>
      </w:r>
    </w:p>
  </w:footnote>
  <w:footnote w:type="continuationSeparator" w:id="0">
    <w:p w:rsidR="008F6DDE" w:rsidRDefault="008F6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93" w:rsidRDefault="00003693">
    <w:pPr>
      <w:pStyle w:val="Header"/>
      <w:jc w:val="center"/>
      <w:rPr>
        <w:rFonts w:ascii="Univers" w:hAnsi="Univer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93" w:rsidRDefault="00684CD8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b/>
        <w:sz w:val="28"/>
      </w:rPr>
      <w:t>ROUDHAM &amp; LARLING</w:t>
    </w:r>
    <w:r w:rsidR="005B0EC8">
      <w:rPr>
        <w:rFonts w:ascii="Times New Roman" w:hAnsi="Times New Roman"/>
        <w:b/>
        <w:sz w:val="28"/>
      </w:rPr>
      <w:t xml:space="preserve"> PARISH COUNCIL</w:t>
    </w:r>
  </w:p>
  <w:p w:rsidR="00003693" w:rsidRDefault="005B0EC8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Chairman: Mr</w:t>
    </w:r>
    <w:r w:rsidR="00684CD8">
      <w:rPr>
        <w:rFonts w:ascii="Times New Roman" w:hAnsi="Times New Roman"/>
        <w:i/>
        <w:sz w:val="24"/>
      </w:rPr>
      <w:t xml:space="preserve"> Brendan Larwood</w:t>
    </w:r>
    <w:r>
      <w:rPr>
        <w:rFonts w:ascii="Times New Roman" w:hAnsi="Times New Roman"/>
        <w:i/>
        <w:sz w:val="24"/>
      </w:rPr>
      <w:tab/>
      <w:t xml:space="preserve">Clerk: Mr </w:t>
    </w:r>
    <w:r w:rsidR="006E6084">
      <w:rPr>
        <w:rFonts w:ascii="Times New Roman" w:hAnsi="Times New Roman"/>
        <w:i/>
        <w:sz w:val="24"/>
      </w:rPr>
      <w:t>Julian Gibson</w:t>
    </w:r>
  </w:p>
  <w:p w:rsidR="00003693" w:rsidRDefault="00684CD8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Shrub Farm</w:t>
    </w:r>
    <w:r w:rsidR="005B0EC8">
      <w:rPr>
        <w:rFonts w:ascii="Times New Roman" w:hAnsi="Times New Roman"/>
        <w:i/>
        <w:sz w:val="24"/>
      </w:rPr>
      <w:tab/>
      <w:t>The Jays, Watton Road, Wretham</w:t>
    </w:r>
  </w:p>
  <w:p w:rsidR="00003693" w:rsidRDefault="00684CD8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Larling</w:t>
    </w:r>
    <w:r w:rsidR="005B0EC8">
      <w:rPr>
        <w:rFonts w:ascii="Times New Roman" w:hAnsi="Times New Roman"/>
        <w:i/>
        <w:sz w:val="24"/>
      </w:rPr>
      <w:t>,</w:t>
    </w:r>
    <w:r>
      <w:rPr>
        <w:rFonts w:ascii="Times New Roman" w:hAnsi="Times New Roman"/>
        <w:i/>
        <w:sz w:val="24"/>
      </w:rPr>
      <w:t xml:space="preserve"> Norwich</w:t>
    </w:r>
    <w:r w:rsidR="005B0EC8">
      <w:rPr>
        <w:rFonts w:ascii="Times New Roman" w:hAnsi="Times New Roman"/>
        <w:i/>
        <w:sz w:val="24"/>
      </w:rPr>
      <w:tab/>
      <w:t>Thetford, Norfolk IP24 1QS</w:t>
    </w:r>
  </w:p>
  <w:p w:rsidR="00003693" w:rsidRDefault="005B0EC8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Norfolk NR1</w:t>
    </w:r>
    <w:r w:rsidR="00684CD8">
      <w:rPr>
        <w:rFonts w:ascii="Times New Roman" w:hAnsi="Times New Roman"/>
        <w:i/>
        <w:sz w:val="24"/>
      </w:rPr>
      <w:t>6</w:t>
    </w:r>
    <w:r>
      <w:rPr>
        <w:rFonts w:ascii="Times New Roman" w:hAnsi="Times New Roman"/>
        <w:i/>
        <w:sz w:val="24"/>
      </w:rPr>
      <w:t xml:space="preserve"> </w:t>
    </w:r>
    <w:r w:rsidR="00684CD8">
      <w:rPr>
        <w:rFonts w:ascii="Times New Roman" w:hAnsi="Times New Roman"/>
        <w:i/>
        <w:sz w:val="24"/>
      </w:rPr>
      <w:t>2</w:t>
    </w:r>
    <w:r>
      <w:rPr>
        <w:rFonts w:ascii="Times New Roman" w:hAnsi="Times New Roman"/>
        <w:i/>
        <w:sz w:val="24"/>
      </w:rPr>
      <w:t>Q</w:t>
    </w:r>
    <w:r w:rsidR="00684CD8">
      <w:rPr>
        <w:rFonts w:ascii="Times New Roman" w:hAnsi="Times New Roman"/>
        <w:i/>
        <w:sz w:val="24"/>
      </w:rPr>
      <w:t>T</w:t>
    </w:r>
    <w:r>
      <w:rPr>
        <w:rFonts w:ascii="Times New Roman" w:hAnsi="Times New Roman"/>
        <w:i/>
        <w:sz w:val="24"/>
      </w:rPr>
      <w:tab/>
      <w:t>Phone: 01953 499980</w:t>
    </w:r>
  </w:p>
  <w:p w:rsidR="00003693" w:rsidRDefault="005B0EC8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Phone: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i/>
        <w:sz w:val="24"/>
      </w:rPr>
      <w:t>01</w:t>
    </w:r>
    <w:r w:rsidR="00A8265F">
      <w:rPr>
        <w:rFonts w:ascii="Times New Roman" w:hAnsi="Times New Roman"/>
        <w:i/>
        <w:sz w:val="24"/>
      </w:rPr>
      <w:t>953</w:t>
    </w:r>
    <w:r>
      <w:rPr>
        <w:rFonts w:ascii="Times New Roman" w:hAnsi="Times New Roman"/>
        <w:i/>
        <w:sz w:val="24"/>
      </w:rPr>
      <w:t xml:space="preserve"> </w:t>
    </w:r>
    <w:r w:rsidR="00684CD8">
      <w:rPr>
        <w:rFonts w:ascii="Times New Roman" w:hAnsi="Times New Roman"/>
        <w:i/>
        <w:sz w:val="24"/>
      </w:rPr>
      <w:t>718210</w:t>
    </w:r>
    <w:r>
      <w:rPr>
        <w:rFonts w:ascii="Times New Roman" w:hAnsi="Times New Roman"/>
        <w:i/>
        <w:sz w:val="24"/>
      </w:rPr>
      <w:tab/>
      <w:t>Email:</w:t>
    </w:r>
    <w:r>
      <w:rPr>
        <w:rFonts w:ascii="Times New Roman" w:hAnsi="Times New Roman"/>
        <w:i/>
        <w:color w:val="0000FF"/>
        <w:sz w:val="24"/>
      </w:rPr>
      <w:t xml:space="preserve"> jg69@onetel.com</w:t>
    </w:r>
  </w:p>
  <w:p w:rsidR="00003693" w:rsidRDefault="005B0EC8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152"/>
    <w:multiLevelType w:val="hybridMultilevel"/>
    <w:tmpl w:val="AE50B6C0"/>
    <w:lvl w:ilvl="0" w:tplc="20F2512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F4505"/>
    <w:rsid w:val="00003693"/>
    <w:rsid w:val="00003851"/>
    <w:rsid w:val="00023BFD"/>
    <w:rsid w:val="00025346"/>
    <w:rsid w:val="0003537A"/>
    <w:rsid w:val="0003652E"/>
    <w:rsid w:val="00060EA9"/>
    <w:rsid w:val="000712A9"/>
    <w:rsid w:val="00083F60"/>
    <w:rsid w:val="0008495F"/>
    <w:rsid w:val="000D4B46"/>
    <w:rsid w:val="000F10E6"/>
    <w:rsid w:val="00101C2C"/>
    <w:rsid w:val="00155D15"/>
    <w:rsid w:val="00182373"/>
    <w:rsid w:val="001842EA"/>
    <w:rsid w:val="001B71FB"/>
    <w:rsid w:val="001B7B48"/>
    <w:rsid w:val="001F6D2D"/>
    <w:rsid w:val="00206DBF"/>
    <w:rsid w:val="00241A8E"/>
    <w:rsid w:val="002771C0"/>
    <w:rsid w:val="00280157"/>
    <w:rsid w:val="00285AD7"/>
    <w:rsid w:val="00287E96"/>
    <w:rsid w:val="002A5C8E"/>
    <w:rsid w:val="002B3B10"/>
    <w:rsid w:val="002B7B28"/>
    <w:rsid w:val="003608D7"/>
    <w:rsid w:val="0038506B"/>
    <w:rsid w:val="003A1526"/>
    <w:rsid w:val="003B0E84"/>
    <w:rsid w:val="003C3EC7"/>
    <w:rsid w:val="003E1DAD"/>
    <w:rsid w:val="003F4D4A"/>
    <w:rsid w:val="00414FA1"/>
    <w:rsid w:val="0042169A"/>
    <w:rsid w:val="004262A9"/>
    <w:rsid w:val="00486ACA"/>
    <w:rsid w:val="004A61C4"/>
    <w:rsid w:val="004B3072"/>
    <w:rsid w:val="004F33F8"/>
    <w:rsid w:val="00504BEC"/>
    <w:rsid w:val="00557AC9"/>
    <w:rsid w:val="005A2B5F"/>
    <w:rsid w:val="005B0EC8"/>
    <w:rsid w:val="005B11B8"/>
    <w:rsid w:val="005C16B7"/>
    <w:rsid w:val="005C3934"/>
    <w:rsid w:val="005F34D3"/>
    <w:rsid w:val="00642256"/>
    <w:rsid w:val="00662A3B"/>
    <w:rsid w:val="00684CD8"/>
    <w:rsid w:val="00686257"/>
    <w:rsid w:val="006A069C"/>
    <w:rsid w:val="006C2966"/>
    <w:rsid w:val="006C7CE1"/>
    <w:rsid w:val="006E6084"/>
    <w:rsid w:val="006E6781"/>
    <w:rsid w:val="0071146D"/>
    <w:rsid w:val="00726506"/>
    <w:rsid w:val="007678CD"/>
    <w:rsid w:val="0077178D"/>
    <w:rsid w:val="007820DA"/>
    <w:rsid w:val="0078236E"/>
    <w:rsid w:val="007910D6"/>
    <w:rsid w:val="007A7AD2"/>
    <w:rsid w:val="007B0C74"/>
    <w:rsid w:val="007C3AAD"/>
    <w:rsid w:val="007D30B0"/>
    <w:rsid w:val="0082037B"/>
    <w:rsid w:val="00826FF2"/>
    <w:rsid w:val="00833591"/>
    <w:rsid w:val="008612BC"/>
    <w:rsid w:val="00876BDF"/>
    <w:rsid w:val="00885DAF"/>
    <w:rsid w:val="0089124D"/>
    <w:rsid w:val="00897DF3"/>
    <w:rsid w:val="008A2041"/>
    <w:rsid w:val="008A307F"/>
    <w:rsid w:val="008B1079"/>
    <w:rsid w:val="008D3F52"/>
    <w:rsid w:val="008F399A"/>
    <w:rsid w:val="008F6DDE"/>
    <w:rsid w:val="00900974"/>
    <w:rsid w:val="0090218E"/>
    <w:rsid w:val="00905CE3"/>
    <w:rsid w:val="00916D57"/>
    <w:rsid w:val="0094040E"/>
    <w:rsid w:val="009462EB"/>
    <w:rsid w:val="009674E0"/>
    <w:rsid w:val="00973FEC"/>
    <w:rsid w:val="00974579"/>
    <w:rsid w:val="009B28A9"/>
    <w:rsid w:val="009C258A"/>
    <w:rsid w:val="009C40B9"/>
    <w:rsid w:val="009D60A7"/>
    <w:rsid w:val="009F4505"/>
    <w:rsid w:val="00A01944"/>
    <w:rsid w:val="00A103AA"/>
    <w:rsid w:val="00A3250F"/>
    <w:rsid w:val="00A35305"/>
    <w:rsid w:val="00A64914"/>
    <w:rsid w:val="00A803A7"/>
    <w:rsid w:val="00A8265F"/>
    <w:rsid w:val="00AD1B5E"/>
    <w:rsid w:val="00AE602C"/>
    <w:rsid w:val="00B328E2"/>
    <w:rsid w:val="00B36C9D"/>
    <w:rsid w:val="00B37434"/>
    <w:rsid w:val="00B75CFC"/>
    <w:rsid w:val="00B84776"/>
    <w:rsid w:val="00B8516E"/>
    <w:rsid w:val="00B92441"/>
    <w:rsid w:val="00BA2B9F"/>
    <w:rsid w:val="00BA35F8"/>
    <w:rsid w:val="00BB01C0"/>
    <w:rsid w:val="00BE4C35"/>
    <w:rsid w:val="00BF5EFD"/>
    <w:rsid w:val="00C0304C"/>
    <w:rsid w:val="00C133DC"/>
    <w:rsid w:val="00C1611C"/>
    <w:rsid w:val="00C27374"/>
    <w:rsid w:val="00C279AC"/>
    <w:rsid w:val="00C52687"/>
    <w:rsid w:val="00C90680"/>
    <w:rsid w:val="00C97EBA"/>
    <w:rsid w:val="00CA0EF2"/>
    <w:rsid w:val="00CD2F71"/>
    <w:rsid w:val="00CD403E"/>
    <w:rsid w:val="00CD54E7"/>
    <w:rsid w:val="00D15DF5"/>
    <w:rsid w:val="00D421BE"/>
    <w:rsid w:val="00D638BA"/>
    <w:rsid w:val="00D8490D"/>
    <w:rsid w:val="00DA7114"/>
    <w:rsid w:val="00DC0894"/>
    <w:rsid w:val="00DC21E1"/>
    <w:rsid w:val="00DD013A"/>
    <w:rsid w:val="00DE2172"/>
    <w:rsid w:val="00DF3B6D"/>
    <w:rsid w:val="00DF65C2"/>
    <w:rsid w:val="00E90F78"/>
    <w:rsid w:val="00EA1104"/>
    <w:rsid w:val="00EA7438"/>
    <w:rsid w:val="00EB1DC4"/>
    <w:rsid w:val="00EB4859"/>
    <w:rsid w:val="00EF5876"/>
    <w:rsid w:val="00F02424"/>
    <w:rsid w:val="00F40194"/>
    <w:rsid w:val="00F726E4"/>
    <w:rsid w:val="00FC5672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2D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Heading1">
    <w:name w:val="heading 1"/>
    <w:basedOn w:val="Normal"/>
    <w:next w:val="CurrentBody"/>
    <w:qFormat/>
    <w:rsid w:val="00003693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CurrentBody"/>
    <w:qFormat/>
    <w:rsid w:val="00003693"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rsid w:val="00003693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03693"/>
    <w:pPr>
      <w:keepNext/>
      <w:jc w:val="both"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entBody">
    <w:name w:val="CurrentBody"/>
    <w:basedOn w:val="Normal"/>
    <w:next w:val="IndentBody"/>
    <w:rsid w:val="00003693"/>
  </w:style>
  <w:style w:type="paragraph" w:customStyle="1" w:styleId="IndentBody">
    <w:name w:val="IndentBody"/>
    <w:basedOn w:val="Normal"/>
    <w:rsid w:val="00003693"/>
    <w:pPr>
      <w:spacing w:before="240"/>
      <w:ind w:right="720" w:firstLine="720"/>
    </w:pPr>
  </w:style>
  <w:style w:type="paragraph" w:styleId="NormalIndent">
    <w:name w:val="Normal Indent"/>
    <w:basedOn w:val="Normal"/>
    <w:next w:val="CurrentBody"/>
    <w:semiHidden/>
    <w:rsid w:val="00003693"/>
    <w:pPr>
      <w:ind w:left="720"/>
    </w:pPr>
  </w:style>
  <w:style w:type="paragraph" w:styleId="Footer">
    <w:name w:val="footer"/>
    <w:basedOn w:val="Normal"/>
    <w:semiHidden/>
    <w:rsid w:val="0000369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003693"/>
    <w:pPr>
      <w:tabs>
        <w:tab w:val="center" w:pos="4819"/>
        <w:tab w:val="right" w:pos="9071"/>
      </w:tabs>
    </w:pPr>
  </w:style>
  <w:style w:type="paragraph" w:customStyle="1" w:styleId="Address">
    <w:name w:val="Address"/>
    <w:basedOn w:val="Normal"/>
    <w:rsid w:val="00003693"/>
    <w:pPr>
      <w:tabs>
        <w:tab w:val="left" w:pos="2160"/>
      </w:tabs>
    </w:pPr>
    <w:rPr>
      <w:sz w:val="16"/>
    </w:rPr>
  </w:style>
  <w:style w:type="paragraph" w:customStyle="1" w:styleId="Centered">
    <w:name w:val="Centered"/>
    <w:basedOn w:val="Normal"/>
    <w:next w:val="CurrentBody"/>
    <w:rsid w:val="00003693"/>
    <w:pPr>
      <w:spacing w:before="240"/>
      <w:jc w:val="center"/>
    </w:pPr>
  </w:style>
  <w:style w:type="paragraph" w:customStyle="1" w:styleId="BlockBody">
    <w:name w:val="BlockBody"/>
    <w:basedOn w:val="Normal"/>
    <w:rsid w:val="00003693"/>
    <w:pPr>
      <w:spacing w:before="240"/>
      <w:ind w:right="720"/>
    </w:pPr>
  </w:style>
  <w:style w:type="paragraph" w:styleId="Date">
    <w:name w:val="Date"/>
    <w:basedOn w:val="Normal"/>
    <w:next w:val="Normal"/>
    <w:rsid w:val="00003693"/>
    <w:pPr>
      <w:spacing w:before="720" w:after="720"/>
    </w:pPr>
  </w:style>
  <w:style w:type="paragraph" w:styleId="List">
    <w:name w:val="List"/>
    <w:basedOn w:val="Normal"/>
    <w:next w:val="CurrentBody"/>
    <w:semiHidden/>
    <w:rsid w:val="00003693"/>
    <w:pPr>
      <w:tabs>
        <w:tab w:val="decimal" w:pos="288"/>
        <w:tab w:val="left" w:pos="720"/>
      </w:tabs>
      <w:spacing w:before="240"/>
      <w:ind w:left="720" w:right="720" w:hanging="720"/>
    </w:pPr>
  </w:style>
  <w:style w:type="paragraph" w:customStyle="1" w:styleId="ReferencedItem">
    <w:name w:val="Referenced Item"/>
    <w:basedOn w:val="Normal"/>
    <w:next w:val="CurrentBody"/>
    <w:rsid w:val="00003693"/>
    <w:pPr>
      <w:keepNext/>
      <w:spacing w:before="240"/>
      <w:ind w:right="720"/>
    </w:pPr>
    <w:rPr>
      <w:i/>
    </w:rPr>
  </w:style>
  <w:style w:type="paragraph" w:customStyle="1" w:styleId="Indented">
    <w:name w:val="Indented"/>
    <w:basedOn w:val="Normal"/>
    <w:next w:val="CurrentBody"/>
    <w:rsid w:val="00003693"/>
    <w:pPr>
      <w:spacing w:before="240"/>
      <w:ind w:left="720" w:right="720"/>
    </w:pPr>
  </w:style>
  <w:style w:type="paragraph" w:customStyle="1" w:styleId="Enclosures">
    <w:name w:val="Enclosures"/>
    <w:basedOn w:val="Normal"/>
    <w:next w:val="Normal"/>
    <w:rsid w:val="00003693"/>
    <w:pPr>
      <w:tabs>
        <w:tab w:val="left" w:pos="1080"/>
      </w:tabs>
      <w:spacing w:before="240"/>
      <w:ind w:left="1080" w:hanging="1080"/>
    </w:pPr>
  </w:style>
  <w:style w:type="paragraph" w:customStyle="1" w:styleId="CopyList">
    <w:name w:val="CopyList"/>
    <w:basedOn w:val="Normal"/>
    <w:next w:val="Normal"/>
    <w:rsid w:val="00003693"/>
    <w:pPr>
      <w:tabs>
        <w:tab w:val="left" w:pos="360"/>
      </w:tabs>
      <w:spacing w:before="240"/>
      <w:ind w:left="360" w:hanging="360"/>
    </w:pPr>
  </w:style>
  <w:style w:type="paragraph" w:styleId="BodyText">
    <w:name w:val="Body Text"/>
    <w:basedOn w:val="Normal"/>
    <w:semiHidden/>
    <w:rsid w:val="00003693"/>
    <w:rPr>
      <w:rFonts w:ascii="Helvetica" w:hAnsi="Helvetic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%20Gibson.Joy-laptop\AppData\Roaming\Microsoft\Templates\Roudham%20&amp;%20Larl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Roudham &amp; Larling.dotx</Template>
  <TotalTime>31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Whinburgh &amp; Westfield Parish Council</vt:lpstr>
      </vt:variant>
      <vt:variant>
        <vt:i4>0</vt:i4>
      </vt:variant>
    </vt:vector>
  </HeadingPairs>
  <TitlesOfParts>
    <vt:vector size="1" baseType="lpstr">
      <vt:lpstr>Roudham &amp; Larling Parish Council</vt:lpstr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Roudham &amp; Larling Parish Council</dc:title>
  <dc:creator>Julian Gibson</dc:creator>
  <cp:lastModifiedBy>Joy</cp:lastModifiedBy>
  <cp:revision>3</cp:revision>
  <cp:lastPrinted>2018-04-14T16:26:00Z</cp:lastPrinted>
  <dcterms:created xsi:type="dcterms:W3CDTF">2019-04-06T12:52:00Z</dcterms:created>
  <dcterms:modified xsi:type="dcterms:W3CDTF">2019-04-06T13:22:00Z</dcterms:modified>
</cp:coreProperties>
</file>